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8A" w:rsidRDefault="00221D8A" w:rsidP="00A24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D8A">
        <w:rPr>
          <w:rFonts w:ascii="Times New Roman" w:hAnsi="Times New Roman" w:cs="Times New Roman"/>
          <w:sz w:val="24"/>
          <w:szCs w:val="24"/>
        </w:rPr>
        <w:t>Библиотека Orthodoxia.org</w:t>
      </w:r>
    </w:p>
    <w:p w:rsidR="0031573D" w:rsidRPr="00221D8A" w:rsidRDefault="0031573D" w:rsidP="00221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8A">
        <w:rPr>
          <w:rFonts w:ascii="Times New Roman" w:hAnsi="Times New Roman" w:cs="Times New Roman"/>
          <w:b/>
          <w:sz w:val="28"/>
          <w:szCs w:val="28"/>
        </w:rPr>
        <w:t>Значение церковного пения в православном богослужении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 В сей день,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егоже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сотвори Господь, со всех уголков земли нашей слетелись певчие птицы, собрались труженики певческой нивы, мастера гармоний и благозвучия для сверки тональностей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богопрославления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обменяться опытом, укрепить известное, почерпнуть новое, актуализировать забытое. Одним словом поделится накопленным и более ясно очертить пути движения вперед.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Тема Богослужебного пения воистину вечна и воистину огромна. Начинаясь на небе как ангельское славословие, продолжаясь на земле в храме и в каждом отдельном верующем сердце, оно не перестанет звучать в вечности. Оно зовет человека к диалогу и </w:t>
      </w:r>
      <w:proofErr w:type="spellStart"/>
      <w:proofErr w:type="gramStart"/>
      <w:r w:rsidRPr="0031573D">
        <w:rPr>
          <w:rFonts w:ascii="Times New Roman" w:hAnsi="Times New Roman" w:cs="Times New Roman"/>
          <w:sz w:val="24"/>
          <w:szCs w:val="24"/>
        </w:rPr>
        <w:t>со-бытию</w:t>
      </w:r>
      <w:proofErr w:type="spellEnd"/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с Богом. Восприятие его смысла, организационного порядка делает верующего уже на земле причастником блаженной будущей жизни.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Значение Церковного пения в богослужении относится к разряду важнейших вопросов, подобно роли дыхания или смыслу кровеносной системы для жизни человека. Казалось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ответ ясен — пение, это молитва, кровоток, душа богослужения, оно снабжает молитвенным «кислородом» сердца и умы верующих. Пронизывая строй церковной службы, оно омывает все ее составляющие. И, тем не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… учитывая способность человека к изменению, не только в лучшую сторону, но к сожалению, как показывает ход всей мировой истории в худшую, ему свойственно терять из поля зрения маяки, критерии правильного движения вперед. Христианину же надо всегда незыблемо хранить верное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святоотеческое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покаянно-радостное молитвенное сердечное расположение, чему способствует пение. Окружающий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расцерковленный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языческий и мир навязывает людям свои ритмы, свое пение,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безусловно является угрозой нашему пению. И представляется очень важным всегда иметь с собой камертон внутреннего критерия, чтобы неизменно высоко держать позиции (певческую форманту) Православной тональности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богопрославления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От того, на сколько правильно подобран репертуар, осмысленно и проникновенно проинтерпретирован, зависит атмосфера храма,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следовательно духовно-молитвенное, сердечное расположение верующих, в целом спасение человеческих душ, а это уже вещи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общецерковного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обще космического масштаба.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Далее я буду говорить о Церковном пении, подразумевая под этим общим названием канонические распевы (знаменный, киевский, Киево-Печерской Лавры).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Богослужебное пение это универсальный общечеловеческий язык молитвы, язык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богообщения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>, который способен выражать невыразимое, конструировать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глубинность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предмета» в духе, отражать первичные основы бытия.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Чудо пения, да как и музыки для светского человека состоит в том, что он «никогда не мысливший о бесконечности и никогда не понимавший бесконечное в свете конечного, а конечное — в свете бесконечного, слушая музыку, вдруг начинает испытывать единство и полную нераздельность того и другого, начинает об этом задумываться, начинает это чувствовать»1.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Но если магия светской музыки, не обращенной к Богу, как культ некой абстракции построена на очаровывающем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самозамыкании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на себе, как попытке восполнить отсутствие Бога, то Церковное пение это всегда направленная динамика движения души вверх, конкретное восхождение к Господу через молитву, самоотвержение и смирение.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lastRenderedPageBreak/>
        <w:t xml:space="preserve">Церковное пение связано с дыханием, т.е. с тем, что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в высшей степени внутренне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— сознанием, духом. Любое чувство — будь то молитвенные откровения, духовный восторг, радость, печаль, страх, влияет на дыхательный ритм, что подтверждает существование связи между этой физиологической функцией и самими глубинами нашего существа, с человеческим «я». Пение через звук,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исшедший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из глубины, одухотворенный всем существом человека, открывает личность целиком.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Через прослушивание песнопения происходит «вкушение» энергии автора и исполнителя,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следовательно косвенное познание той реальности, отражением которой служит композиция. От сюда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: какими духовными качествами должен обладать человек создающий музыку для церкви? Еще в раннем средневековье утвердилось две теории боговдохновенного творчества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Псевдо-Дионисия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Ареопагита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преп. Максима Исповедника.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73D">
        <w:rPr>
          <w:rFonts w:ascii="Times New Roman" w:hAnsi="Times New Roman" w:cs="Times New Roman"/>
          <w:sz w:val="24"/>
          <w:szCs w:val="24"/>
        </w:rPr>
        <w:t xml:space="preserve">У Дионисия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Ареопагита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церковное пение является лишь слабым отражением пения иерархии ангелов, херувимов, серафимов и других небесных сил, непрестанно славословящих Господа, а у преподобного Максима песнопение рассматривается как тот же образ, как свидетельство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боговоплощения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>, где смысл воплощен не в слове, как в Священном Писании, не в красках, как собственно в иконе, а в звуках при этом образ и первообраз сближены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, их отличает лишь способ существования, их единство основано на проникновении энергии первообраза в образ.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>Если у Дионисия «архетип» недосягаем и доносится до человека лишь в виде отдаленного эха, то у Максима Исповедника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образ различается от первообраза способом существования. Образ ведет к первообразу, обладая энергией, единой с первообразом. Поэтому певец, проникая в смысл произведения, исполняясь энергией архетипа и преодолевая основные оппозиции греховного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движется к вдохновенному состоянию автора при написании гимна.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Вообще тема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ангелогласности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богослужебного пения это сосредоточение, смысловой центр представления о содержательной стороне Церковного пения3. Внутренняя направленность церковного пения на модель, находящуюся за пределами обычного слухового опыта — пение «божественное», «ангельское», является традиционной мерой, образцом, богослужения. Не случайно хор называется ликом: вспомним Херувимскую песнь, гимн «Ныне силы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небесныя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 нами невидимо служат», «Великое Славословие», песнопение «Свят, Свят, Свят, Господь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Саваоф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6, 3). Причем здесь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ангелогласность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выступает в аспекте не только подражания, но именно, соучастия, совместного пении людей и ангелов за богослужением.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73D">
        <w:rPr>
          <w:rFonts w:ascii="Times New Roman" w:hAnsi="Times New Roman" w:cs="Times New Roman"/>
          <w:sz w:val="24"/>
          <w:szCs w:val="24"/>
        </w:rPr>
        <w:t>В этом ключе смысл Церковного пения заключен в поддержании у человека горения Святого Духа на пути его восхождения к Благословенному Царству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, а история богослужебного пения отражает процессы накопления или утраты умозрительного молитвенного опыта.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Симеону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Новому Богослову три образа молитвы и соответствующих им уровня внимания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показывают динамику развития духовной жизни человека. Каждому образу молитвы соответствует свой тип пространственно-временных представлений, который в свою очередь формирует адекватные себе мелодические структуры. Первому уровню рассеянной, образной молитвы соответствует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профанно-натуралистический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тип представлений, второму, когда подвижник «собирает все помыслы свои, чтоб не скитались по суетным вещам мира сего» — аллегорический, и третий «сведение ума в сердце» — сакрально-символический5.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По мере овладения более высоким уровнем молитвы подвижник преодолевал сложную множественность сознания. Прекращая блуждание ума, сосредотачивая его к «единому на потребу» он соответственно своему духовному уровню изменял и композиционную сторону песнопений. Так,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профанно-натуралистическому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типу представлений в церковном пении соответствуют многие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партесные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композиции с пространственно-прямой перспективой многоголосия, где встречается асимметричность, излишняя экспрессивность музыкальной ткани, в целом отражающая множественную сложность мира, со своими коллизиями. И это выразилось во многих произведениях искусства периода Нового времени, написанных на богослужебные тексты.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Напротив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сакрльно-символический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тип пространственно-временных представлений в певческом обиходе нашей Православной Церкви отражается в средневековом периоде ее истории, а в более поздние времена (в том числе и настоящем), в системе осмогласия. Общей композиционной закономерностью этого периода являлось сплетение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в том числе лиц,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нормативных мелодических формул в структурные единицы разного уровня — строки, колоны, разделы, соответствовавшие синтаксическому и риторическому построению словесного текста. Система осмогласия, при этом, объединяя мелодико-текстовое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временным содержание гласа, вела к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на земле модели вечности таинственно передавая образ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ангелословия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Символика знаков, указания на нужные состояния которые должен подразумевать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распевщик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при распевании текста, приводило к «разомкнутой замкнутости» движущихся по кругу интонационных идей, единых по содержанию, но различных в деталях.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Необходимо отметить, что в общих процессах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к сожалению четко просматривается закономерность изменения типа молитвы от сакрально-символического к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профанно-натуралистическому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(подробнее об этом можно прочитать в книге В. Мартынова «Культура,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иконосфера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богослужебное пение Московской Руси»). Мне представляется важным, перед тем как оценивать одноголосное или многоголосное песнопение, на его богослужебную ценность нужно попытаться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распознать из какого духовного опыта оно написано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. Подлинно ли это искорка Божественной мелодики либо гармонии, либо наоборот, оно написано из состояния плотской помраченности.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Нужно добавить, что оценка качества любых музыкальных феноменов заключена в способности различать духов скрывающимися за интонациями произведений.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Естественно, что Церкви должен быть присущ только Святой Дух с Его дарами, а также светлый мир ангельских духов.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Как было сказано в начале Церковное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будучи одной из ярких страниц Православного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Священноо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предания неразрывно связано с богослужением, —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мистериально-символическим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действом полноценно выражающем стремление верующих к благодатному просвещению. Будучи подчиненным Уставу — каноническому, священному сценарию, оно включает в себя четкий план движений тех или иных чинов священнослужителей, чередование пения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речитации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>, последовательность участия хора, масс верующих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>. Причем присутствие музыкального элемента здесь представляется неотъемлемым связующим компонентом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>Богослужение, вбирая в себя различные элементы вселенского и земного масштаба, в храме, находит выражение в двух направлениях: вневременном — литургии, таинствах; и связанном со временем — службах суточного (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седмичного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) круга, а также сложной системе годовых праздников подвижного и неподвижного кругов8. Ритмы этих кругов, </w:t>
      </w:r>
      <w:r w:rsidRPr="0031573D">
        <w:rPr>
          <w:rFonts w:ascii="Times New Roman" w:hAnsi="Times New Roman" w:cs="Times New Roman"/>
          <w:sz w:val="24"/>
          <w:szCs w:val="24"/>
        </w:rPr>
        <w:lastRenderedPageBreak/>
        <w:t xml:space="preserve">оживляемые пением, переплетаясь между собой, задают пульсацию одухотворяющую мир.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Церковное пение не просто оформляет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чинопоследования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но раскрывает духовные истины, содержащиеся в Евангелии и учении Церкви, являясь мелодической проповедью, звуковой иконой богослужения. Подобно церковному символу пение, точнее канонические церковные распевы это не только «условный знак»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ангелогласия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но и таинственное,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энергийное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его явление («архетипа»). В этом еще одна цель и идея церковного пения в богослужении — возведение человеческого ума и духа с помощью звукового образа к Божественному первообразу. Генетическая связь церковного пения с вечными, вневременными ценностями (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выраженных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анонимным и коллективным творчеством), повышает эстетическую ценность отечественного богослужебного пения и делает его открытым всем историческим периодам.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73D">
        <w:rPr>
          <w:rFonts w:ascii="Times New Roman" w:hAnsi="Times New Roman" w:cs="Times New Roman"/>
          <w:sz w:val="24"/>
          <w:szCs w:val="24"/>
        </w:rPr>
        <w:t>Синтез искусств, задействованный в богослужении направлен на создание уникальной среды, которая во время церковных служб помогает молящимся устанавливать связь между земным миром и сферой вечного бытия, возвышает человека, приобщая его высшему миру красоты и гармонии.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В это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пение выступает наиболее динамичным и действенным средством (в отношении меры наполняемости богослужения, а также непосредственной связи с волевым началом человека).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 xml:space="preserve">Оживляя созданную всем комплексом искусств уникальную среду храма, связывающую земной мир с горним, пение ориентирует ее к вышнему миру через постоянную актуализацию в сознании человека непреходящих ценностей веры. </w:t>
      </w:r>
      <w:proofErr w:type="gramEnd"/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Церковное пение подобно «музыкальной оправе» оформляет ритуальные действия, подчеркивая их сущность. Являясь важным звеном в контексте единой цепи богослужебного храмового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действа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Церковное пение в своем наиболее динамически-процессуальном виде, берет на себя организационную функцию непосредственного, действенного включения верующего в новую, сакрально-преображенную реальность Церкви.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композиционная структура канонических форм распева зависит от нескольких факторов: прежде всего, литургического текста, исторически сложившейся соответствующей мелодической формы распева и позднее гармонического изложения. Текст, имея определяющее значение, неразрывно связан с музыкальной стороной, подчеркивающей его смысловую структуру за счет опоры на определенные устойчивые интонационно-мелодические, обороты,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которые используются на протяжении всей композиции. Такой принцип (опоры на устойчивые интонационно-мелодические обороты) в наиболее ярко проявляется в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стихирных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тропарных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напевах гласов. Строение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стихирного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тропарного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напевов выявил единый принцип (определенный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гласовой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формулой) чередования строк. Следуемые одна за другой мелодические строки при пространном тексте начинают образовывать круг, который на последней фразе размыкается заключительной строкой. Простота и повторяемость одних и тех же мелодико-гармонических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оборотов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к примеру в Лаврском распеве (это имеет силу и для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осмогласных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напевов обихода) при восприятии песнопения с позиций мирского искусства порождает впечатление однообразия и элементарности музыкального текста, однако, именно его незатейливость позволяет все внимание сосредоточить на распеваемом смысле слова, что, в свою очередь, способствует выполнению главной функции внутреннего духовного продвижения человека.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73D">
        <w:rPr>
          <w:rFonts w:ascii="Times New Roman" w:hAnsi="Times New Roman" w:cs="Times New Roman"/>
          <w:sz w:val="24"/>
          <w:szCs w:val="24"/>
        </w:rPr>
        <w:lastRenderedPageBreak/>
        <w:t>Стихирный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тропарный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напевы (вместе с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прокимным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ирмологическим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) как изменяемая система песнопений, параллельно с циклом неизменяемых песнопений («Херувимская песнь», «Милость мира», «Хвалите Имя Господне» и др.) во взаимном сочетании обеспечивают актуальность содержания и новизну распева. Механизм их взаимодействия определяется подвижностью и неизменностью напевов, которые способствуют созданию пульсации всей певческой системы. Важно отметить, что указанная новизна распева не зависит от формы изложения —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монодической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или многоголосной, но важна функциональная работоспособность всей певческой системы в общем богослужебном комплексе.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 xml:space="preserve">Сменяемость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гласовых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столпов, изменяемых и неизменяемых песнопений, включенных в систему суточного,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седмичного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годового кругов исключает однообразие певческого ряда, а смысловая насыщенность текстового материала как минимум четырех книг (ежедневно задействованных в богослужении — Октоиха, Минеи, Часослова, Псалтири), сугубо усиливают ощущение новизны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обновляемости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материала. </w:t>
      </w:r>
      <w:proofErr w:type="gramEnd"/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Подвижный круг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стихирных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тропарных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напевов и неподвижный стержень неизменяемых песнопений обуславливают раскрытие все новых аспектов в восприятии вечных, непреходящих ценностей бытия.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 xml:space="preserve">Невидимая гармоническая сопряженность двух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богослужебно-певческих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векторов (подвижного и неподвижного), создает в человеке необходимую духовную напряженность, способствующую раскрытию внутренних потенциалов, силы веры в движении к Свету.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Такое движение осуществимо через восприятие священного слова (раскрываемого посредством всего комплекса средств певческого выражения) в постоянно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дышущем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», «живом» мелодическом оформлении. Это движение во время богослужения включает человека в пространство Священного предания, погружает в таинственные глубины веры, в подлинную духовную жизнь, которую можно ощутить, только лишь проникнув в единую систему всего комплекса богослужения.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Церковное пение в контексте богослужения кроме функционально-динамической задачи, является главным выразителем молитвы, «диалога с Богом». Это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красной нитью пронизывая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чинопоследования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оправдано опытным постижением человеком молитвы, как внутреннего пения как особого диалога, происходящего в тишине сердца. Именно из такого глубокого состояния родились лучшие образцы Церковного искусства, в том числе и богослужебные распевы. Все это предполагает главное — приобщение человека к Богу и достижение готовности и способности исполнять Его волю.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Изобразительный символизм богослужений, выражающийся различными священнодействиями, в том числе и певческим способом, приводит к переживанию различных этапов Домостроительства Божия о спасении мира. Например: в песенном материале вечерни пронизанной духом покаяния, люди начинают прозревать луч надежды — истинный Свет Христа, благодарят Бога за прожитый день, молятся о благополучном и безгрешном провождении ночи. С повечерием вспоминается литургическое событие: сошествие Христа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ад как торжество последующего Воскресения, выводящего человека из состояния помраченности в царство духовной Истины. Литургическая символика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полунощницы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напоминает человеку о непрерывном умном служении Богу небесной иерархии — Сил ангельских. В песнопениях и молитвословиях утрени на восходе солнца идея духовного просвещения, движения к Свету имеет все более отчетливое развитие посредством благодарения Бога за прошедшую ночь и воспоминание в богослужебных действиях событий из жизни Христа-Спасителя, произошедших ночью или очень рано на рассвете — Воскресении. Часы 1, 3, 6 и 9-й посвящены соответственно благодарению в даровании настоящего дня, памяти схождения Святого Духа на апостолов (3-й час), распятию Христа и Его Крестной смерти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Возможная опасность однообразия певческого материала в богослужении предотвращается смысловой насыщенностью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гимнографического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материала церковных книг задействованных в службах. Это положение дополняется также указаниями Типикона относительно значимости и торжественности праздника, которые предписывали те или иные градации присутствия певческого материала. Так увеличение, своеобразное разрастание мелоса распева в богослужении происходило от простой,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славословной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службы, через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полиелейное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богослужение к всенощному бдению. Если в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славословной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службе задействован только простой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гласовый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материал, то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полиелейное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богослужение подразумевает использование системы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подобнов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>, а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бденная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» служба, кроме простых напевов гласов,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подобнов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самоподобнов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еще и систему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самогласных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стихир. Необходимо учитывать также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гимнографическое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жанровое деление на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стихирный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тропарный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прокимный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ирмологический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напевы, которые средствами только одной системы осмогласия превращаются в развернутую систему Церковного пения, из четырех указанных видов вырастая до 32 (4 * 8 = 32). Эти напевы, включенные в систему девяти служб суточного круга, дают широкую палитру певческого выражения богослужебного материала, а предстоящим в храме — непосредственную возможность духовного обогащения через эмоционально-образное восприятие истин и догматов веры, тем самым, получая особое смысловое причастие к миру красоты, гармонии и подлинного Света.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Именно в духовной актуализации сакральной среды Храма, в стремлении наибольшего насыщения верующих энергией Божественной благодати, в желании действенного и полного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сопричастия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участников службы духовной реальности Церкви заключена цель богослужебного пения.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Оно, объединяя общие, направленные вверх, стремления участников богослужения погружает присутствующих в Храме во внутренний мир веры, собирает и направляет их усилия к одной единой цели — желании жизни с Богом. В этом контексте пение выполняет свою функцию, создавая адекватный установкам Православия духовный образ, характер и настрой переживаний священных предметов.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Расположение ликов по обе стороны от алтаря на солее (принцип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антифонности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), дает хористам уникальную возможность, в процессе пения достигать своеобразной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взыгранности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духа, наполняющей сердца поющих светлым, радостно-ликующим чувством. Естественно, что это радостное вдохновение определяет и сам строй церковного пения, поднимая его на качественно более высокий уровень молитвы.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Все это дает основание сделать вывод о роли и значении Церковного пения в Православном богослужении как важнейшего функционально-динамического звена, организующего не только процесс отдельного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чинопоследования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но и церковной жизни в целом.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Анализируя Церковное пение в контексте храмового действа, важно отметить идею движения, которая, в различных аспектах глубоко присуща богослужению. Так, главная тема Всенощного бдения заключена в необходимости внутреннего движения человека через покаяние к Свету, к таинству Божественной Литургии. Сама Божественная Литургия как таинство таинств имеет более четкие этапы внутреннего движения, просвещения и восхождения к Богу: через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Слова Божия (чтение Священного Писания), Великий Вход к Евхаристическому канону и самому причастию. Поэтому идея движения к Свету выражается в различных частях богослужебной архитектоники по-разному (в зависимости от литургического момента), в том числе и в пении.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lastRenderedPageBreak/>
        <w:t>Любой узловой литургический фрагмент, показывает динамику движения человека к Свету. Подготовленные всем ходом богослужения молящиеся, настроенные соответствующими песнопениями, имеют возможность прозревать истинный свет искупления во Христе (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гимн «Свете Тихий»). Мистика Света пронизывает весь строй литургической жизни и реализует в ней идею духовного восхождения в главных ее аспектах. Одним из таких аспектов является идея исхода от мрака греха и несовершенства к свету истины и правды. Так, начало богослужебного дня — вечерня — показывает Свет в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символически-прикровенном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виде, подобно отдаленному лучу надежды в конце тоннеля, к которому продвигается душа через покаяние. Утреня приносит новое ощущение уже не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прикровенного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но ощутимо-восходящего Солнца Правды, и, наконец, сама Литургия — полное, сущностное раскрытие мистик Света — Спасителя, с которым реально соединяются души верующих. Световой символизм — организующий принцип церковного искусства как органической части богослужения. Церковные песнопения, предназначены пробудить и направить в человеке движение веры, как восхождение к Свету, к Просвещению.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кардинальное смещение акцентов и интересов в богослужении с земной действительности на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божественную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. Именно внутреннему стремлению вверх, к небу, движению от мрака к свету подчинены и главные средства музыкальной выразительности церковных канонических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распевво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>: мелодика, ритмика, ладовая, а также регистровая организация песнопений. Так, в знаменной монодии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прості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семантизованим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ієрархічним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спрямованим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на передачу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роз'яснення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відомих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символів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сенсу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справжнього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Вишньої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реальності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прагнути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віруюча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»10. Речь идет о символико-иерархической связи мелодической линии распева со смыслом распеваемого слова (осмысленное использование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переходов в согласиях церковного звукоряда «простом», «мрачном» «светлом» и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трисветлом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»). Необходимо отметить, что ритмическая, регистровая сторона песнопений знаменного распева, подчинены указанной цели — осмысленному интонационному раскрытию содержания слова.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В этой связи становится понятной еще одна важная роль Церковного пения трансформация внешних уровней молитвы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более глубокие сокровенно-внутренние. Так, если церемониальная часть богослужения (различные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исхождения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выходы, сходы, каждения) призвана, прежде всего, к вовлечению человека в действо, то пение, используя распеваемое слово, для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осмысления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происходящего на духовно-психическом уровне, создает необходимую атмосферу для внутреннего восприятия происходящего.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все присущие ему средства музыкальной, а также литургической выразительности, Церковное пение составляет главную эмоционально-смысловую основу богослужения, способствуя актуализации в храмовом пространстве священного мира. В этом процессе Церковное пение, точнее знаменный распев, как интонационно оформленная молитва, обладая соборной, личностной волей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молящихся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, оживляет уже ранее созданные архитектурой, росписями, иконами, иконостасом пространственные координаты храма и возносит созданный ими специфический вектор преображенного пространства к горнему миру.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Таким образом, Церковное пение в контексте богослужебной традиции Православной Церкви дает убедительное представление о степени ее действия. Будучи одной из ярких страниц Православного Священного предания оно явилось выражением духа Церкви, содержа в себе свой образ богослужебного пения. Являясь организующим началом, выражающим стремления религиозного духа Церковное пение выполняет важнейшую роль, по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став певческим символом литургической жизни монастыря.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73D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звуковых арок, во время перекличек между ликами, диалоги клиросов и священнослужителей в алтаре (вводящие троичность в славословие), различное пространственное расположение во время схождений, весь строй богослужения в целом, в том числе и каждения храма (подчеркивающие ограждение паствы от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десакрализованного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мира), создает условия реализации важнейших литургических идей: молитвенного горения, единства различного в одном, исхода и последующего обновленного возврата.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Все это наполняет пространство храма энергией божественной благодати и актуализирует ее присутствие в сердцах верующих.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Мыслимое только в контексте синтеза различных составляющих богослужебных компонентов, а также как главный источник молитвенного движения к Свету, Церковное пение, является функциональным стержнем всего храмового действа.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Постигаемое, как важнейший компонент богослужения, Церковное пение приобщает верующих новой духовной реальности, новому эону Вечности, воссоздаваемому на земле всем комплексом искусств, задействованных в Церкви.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Эмоциональный мир человека при проникновении в религиозный мир веры преображается. При соприкосновении с Божественными энергиями, конституирующими богослужение, духовный план человека видоизменяется: приобщаясь Святому Духу, он становится спокойным, уравновешенным, внутренне умиротворенным и одновременно духовно радостным, легким, подвижным. Естественно, что эта особенность накладывает свою печать на характер и стиль Церковное пение, а также очерчивает еще один вектор ее функционально-богослужебной роли, а именно, создание средствами певческой выразительности такой духовной атмосферы, которая делает человека открытым к восприятию благодати Святого Духа.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Этот процесс осуществляется в постепенном размягчении черствости, окаменелости души и в последующем наполнении ее дарами благодати — любовью, миром, радостью. В целом это душевное состояние человека (к которому ведет весь строй богослужения), получило название в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святоотеческой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литературе —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радосто-печалия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или правильного внутреннего устроения, выраженного словами преп.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Силуана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Афонского «держи ум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аде и не отчаивайся»11. Как пишет святитель Игнатий Брянчанинов, размышляя о характере церковной музыки: «радость, проводимая надеждою спасения нашего, по необходимости соединена в нас со скорбным ощущением греховного плена»12. Именно эта антиномия радости о Боге из глубины смирения определяет весь ход богослужения, и к жизненному воплощению ее ведет подвижника характер знаменного распева.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«…все искусство, с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Бетховенами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Вагнерами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, есть ничто перед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старознаменным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догматиком «Всемирную славу» или Преображенским тропарем и кондаком; и никакая симфония не сравнится с красотой и значением колокольного звона»13.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1 Лосев А. Ф. Основной вопрос философии музыки.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соч. — С. 329.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>2 Творения преподобного Максима Исповедника // Богословские и аскетические трактаты. – 1993. – Кн. 1.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Мартис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». — С. 154 — 186.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proofErr w:type="gramStart"/>
      <w:r w:rsidRPr="0031573D">
        <w:rPr>
          <w:rFonts w:ascii="Times New Roman" w:hAnsi="Times New Roman" w:cs="Times New Roman"/>
          <w:sz w:val="24"/>
          <w:szCs w:val="24"/>
        </w:rPr>
        <w:t>Лозовая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 И. «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Ангелогласное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пение» в системе музыкально-эстетических представлений русского средневековья //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Философско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— эстетические проблемы древнерусской культуры: Сб. ст. – М., 1988. — С. 121 — 122.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Добротолюбие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— Свято-Троицкая Сергиева Лавра, 1993. — С. 463.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5 Мартынов В.И. Культура,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иконосфера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и богослужебное пение Московской Руси. – М., 2000. – С. 47.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6 Бычков В.В. Русская Средневековая Эстетика XI — XVII века. – М., 1992. – С. 205.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И.А. Богослужебное пение Русской Православной Церкви. В 2 т. Т. 1. — </w:t>
      </w:r>
      <w:proofErr w:type="spellStart"/>
      <w:proofErr w:type="gramStart"/>
      <w:r w:rsidRPr="0031573D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Йорк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 xml:space="preserve">, 1982. — С. 13, 73.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8 Православная Энциклопедия. – М., 2000. — С. 485.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9 Смысл и значение православно-христианского ежедневного богослужения. – Луганск, 1990. — С. 3-44.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10 Чижик І.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Символіка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простру в </w:t>
      </w:r>
      <w:proofErr w:type="spellStart"/>
      <w:proofErr w:type="gramStart"/>
      <w:r w:rsidRPr="003157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573D">
        <w:rPr>
          <w:rFonts w:ascii="Times New Roman" w:hAnsi="Times New Roman" w:cs="Times New Roman"/>
          <w:sz w:val="24"/>
          <w:szCs w:val="24"/>
        </w:rPr>
        <w:t>існеспівах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знаменного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розспіву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Мистецтвознавство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— К., 2000. – С.164.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11 Старец </w:t>
      </w:r>
      <w:proofErr w:type="spellStart"/>
      <w:r w:rsidRPr="0031573D">
        <w:rPr>
          <w:rFonts w:ascii="Times New Roman" w:hAnsi="Times New Roman" w:cs="Times New Roman"/>
          <w:sz w:val="24"/>
          <w:szCs w:val="24"/>
        </w:rPr>
        <w:t>Силуан</w:t>
      </w:r>
      <w:proofErr w:type="spellEnd"/>
      <w:r w:rsidRPr="0031573D">
        <w:rPr>
          <w:rFonts w:ascii="Times New Roman" w:hAnsi="Times New Roman" w:cs="Times New Roman"/>
          <w:sz w:val="24"/>
          <w:szCs w:val="24"/>
        </w:rPr>
        <w:t xml:space="preserve">. Жизнь и поучения. – М, 1991. – С.196. </w:t>
      </w:r>
    </w:p>
    <w:p w:rsidR="0031573D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 xml:space="preserve">12 Святитель Игнатий Брянчанинов. О ереси и расколе. Православное чтение № 5-6. Издание Московской Патриархии. – 1992. – С. 8. </w:t>
      </w:r>
    </w:p>
    <w:p w:rsidR="00442A39" w:rsidRPr="0031573D" w:rsidRDefault="0031573D" w:rsidP="0031573D">
      <w:pPr>
        <w:jc w:val="both"/>
        <w:rPr>
          <w:rFonts w:ascii="Times New Roman" w:hAnsi="Times New Roman" w:cs="Times New Roman"/>
          <w:sz w:val="24"/>
          <w:szCs w:val="24"/>
        </w:rPr>
      </w:pPr>
      <w:r w:rsidRPr="0031573D">
        <w:rPr>
          <w:rFonts w:ascii="Times New Roman" w:hAnsi="Times New Roman" w:cs="Times New Roman"/>
          <w:sz w:val="24"/>
          <w:szCs w:val="24"/>
        </w:rPr>
        <w:t>13 Лосев А. Ф. Диалектика мифа // Миф. Число. Сущность. – М., 1994. — С. 104.</w:t>
      </w:r>
    </w:p>
    <w:sectPr w:rsidR="00442A39" w:rsidRPr="0031573D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73D"/>
    <w:rsid w:val="00221D8A"/>
    <w:rsid w:val="0031573D"/>
    <w:rsid w:val="00442A39"/>
    <w:rsid w:val="005A4643"/>
    <w:rsid w:val="00A2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4162</Words>
  <Characters>23730</Characters>
  <Application>Microsoft Office Word</Application>
  <DocSecurity>0</DocSecurity>
  <Lines>197</Lines>
  <Paragraphs>55</Paragraphs>
  <ScaleCrop>false</ScaleCrop>
  <Company>Home</Company>
  <LinksUpToDate>false</LinksUpToDate>
  <CharactersWithSpaces>27837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3</cp:revision>
  <dcterms:created xsi:type="dcterms:W3CDTF">2011-05-05T16:21:00Z</dcterms:created>
  <dcterms:modified xsi:type="dcterms:W3CDTF">2011-05-05T16:24:00Z</dcterms:modified>
</cp:coreProperties>
</file>